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0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362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3627-06122010-75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83000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362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МУ 222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30041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74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787495-10122010-75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МУ 222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30041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74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з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50101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09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180901-24122010-76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з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50101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809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ткрытым акционерным обществом «Исто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100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0104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5010490-21012010-180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ткрытое акционерное общество «Исто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100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0104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