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«Архитектурное бюро «Форм унд Раум»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1089848022736,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7842397279)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1072224004379,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2224112995)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«Алтайгидропроект»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1022201388384,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2223037181)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«Грант-СБ»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1056166007920,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6166052597)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«Гражданское и промышленное проектирование»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3904092924)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«Сибкоммунэнерго»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1035403191570,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5407248364)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1097746180168,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7728696643)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«Городское проектно-эксплуатационное бюро»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1043400415563,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3445066202)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«АССОЦИАЦИЯ ЦЕНТРОВ ИНЖИНИРИНГА И АВТОМАТИЗАЦИИ»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1057812707919,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7804324576)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1077847322090,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7801436095)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Фирма «Прогноз +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1077203035601,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7202163635)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