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94/2010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«ВБВ-Техно»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1025400511432,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5401195282)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«Вектор»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1047823003370,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7814152809)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«Техстрой»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1057811285575,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7816368271)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«АрхиГрад»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1079847074317,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7840374741)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«Гормашэкспорт»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1065404099551,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5404289348)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«Континент-Проект»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1082304002142,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2304053495)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«Румель-строй»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1077847549120,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7814382320)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«СтройСтандарт»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1089847067243,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7801461408)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«Батима»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1085406040103,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5406506326)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«Студия «Практика»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1037828038170,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7813181927)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«Компания РКС»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1027804606521,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7807041343)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«Термосиб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1025403214924,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5407230462)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«Форпост Балтики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1023900768946,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3905031593)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«ФРАНЦ-А»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1027739397586,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7712110824)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«ГлавСтрой»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1089848030909,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7814423181)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Научно-производственная строительная компания «СКИП»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1075405001418,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5405335565)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«Проектная группа Союз»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1072203001694,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2203021401)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«Проектно-Строительный Отдел Славик»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1077404003973,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7404048642)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«Архитектурная мастерская Соловьевой О.И.»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1027807592394,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7814125851)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«ПФ-Комплекс»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1037811001150,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7805199430)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«М29»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1089848058410,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7805478843)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Производственная Компания «ИнтерПром»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1085401007603,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5401307895)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«Дом проектов»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1067203365261,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7202155472)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27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