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1087232042160,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7203224922)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1023900769023,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3905037370)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1038900502431,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8901014476)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