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января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Объединение «Комплексная автоматизация»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1047855153378,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7838310691)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«ПитерСтрой»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1089848020811,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7842397173)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«Содружество-строй»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1056000404866,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6027091172)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фирма «ИРОН»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1027810261160,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7812006023)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«ХайВэй»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1076168000545,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6168013811)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1085406040103,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5406506326)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«Водовод»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1067847424083,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7811338562)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1097847234242,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7813451002)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«УНР - 394М»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1037804001047,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7802117038)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1037821045900,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7810282726)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1085902010347,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5902849722)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1097847228379,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7842413883)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«Научно-производственная фирма «Ракурс»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1027810283467,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7812041998)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«СВК-строй»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1079847004478,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7811362893)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1072343000740,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2343019240)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СК «Югстроймонтаж»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1072334000903,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2334021525)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«Проектно-строительная компания 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1037811064103,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7805232832)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«КУБ-строй»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1079847003873,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7813365770)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«Музейное оборудование и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1067847172623,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7814335859)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«Техсервис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1022300641263,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2302044463)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1047855179965,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7802313057)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«Фасадстрой»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1037811019091,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7805234702)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января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