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Открытое акционерное общество «Катуньгэсстрой»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1020400664129,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0408002981)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1047855148065,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7811309272)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Тепличный комбинат «Новосибирский»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1075475004637,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5433168764)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1057812658067,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7802335460)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«Промэнергоблок»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1097847241975,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7811443768)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«Тепловые сети Балашихи»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1025000509357,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5001036552)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«АванМастер»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1047855057436,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7811303986)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казенное учреждение «Управление муниципального хозяйства»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1063458003300,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3426011293)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«БизнесОфисСтайл»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1067746868353,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7730544951)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1103850005599,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3811137058)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«Монтажная компания Теплоэнергострой»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1057749518441,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7716539501)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«Тепломонтажное управление №6»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1087746494780,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7710714066)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«Птерро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1023902052954,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3912008179)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14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