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января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«Пром-АЛЬЯНС»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1064715018125,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4715017916)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1046000322444,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6027085500)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«СтройГазПром»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1082222000310,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2222070098)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«ПромГазСервис»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1063525102244,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3525167358)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1089847250657,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7806390704)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фирма «ДомИнвестСтрой»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1076027010036,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6027108362)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«РАДИУSСТРОЙ»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1072224003477,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2224112265)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«Модуль»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1062222003491,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2222054530)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«Полипласт»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1026102221309,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6150011965)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1077847210759,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7811370291)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«УниСтрой»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1095405024835,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5405402660)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«Универсал»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1095658003539,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5603033630)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«Геострой»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1086674029881,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6674315858)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«Лазурит»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1022300631561,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2302041536)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«СТРОЙТРАНС»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1069847504198,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7810081561)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«ДЕФТ»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1089848046860,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7802453520)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«Геотехнология»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1027200812649,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7203087987)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«ЕВРОСТРОЙ»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1099847021097,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7838435789)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«ИСБ»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1027806059742,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7811120950)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«Норма»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1042201922355,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2221065144)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«ПРОФИ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1077847350041,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7814372346)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«СтройЭнергоМонтаж-Сервис»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1099847001902,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7838434979)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«Технострой»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1085401020275,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5401316040)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«Компания КРУС-З»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5067847562767,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7814358920)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Майорова Алексея Валерьевича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304602506300062,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602501078128)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ПСК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1095406035845,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5406551086)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«СтройПласт-Юг»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1072646002110,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2624030930)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«Вектор+»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1027801576516,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7802168917)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«Исток»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1026102061941,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6145005966)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«Гарантия»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1065405135432,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5405330133)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«Строительный вернисаж»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1086027006724,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6027116099)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«Торгово-промышленная фирма «Агрострой»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1022300630461,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2302034673)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«Южная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1095753002135,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5753050200)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фирма «ИРОН»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1027810261160,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7812006023)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«ПромЭнергоПроект»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1089848009668,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7804402425)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января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