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«Авэлс»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1026602326684,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6658025196)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«СКАДИ»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1022201136231,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2222034269)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«Научно-производственное предприятие «ТЕЛЕКС Линия Трудовых Династий»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1036604392461,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6662007834)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«ИНВЕКС»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1063906148460,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3906162292)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1092223005841,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2223971578)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«РЭМ-сервис»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1065948003110,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5948029120)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«Алтай-Строй»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1082225009800,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2225096873)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«РЕКА»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1027801576000,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7802021992)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«Межотраслевое Управление «Запад»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1096183003806,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6150061620)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«Научно-производственное объединение «АНТАРЕС трейд»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1037832004121,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7814076820)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«Южная 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1083435005763,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3435095740)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«Ралекс»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1023901955824,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3909024156)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«Тенгри»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1030400733747,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0411110673)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07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