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СПЕЦИАЛЬНЫХ РЕШЕНИЙ»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1072225000275,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2225082574)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СПЕЦИАЛЬНЫХ РЕШЕНИЙ»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1072225000275,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2225082574)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«РОСТЭКС.С»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1022200898873,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2221051568)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«Сиб-кров»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2224136964)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«СОЮЗМОНТАЖСТРОЙ»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1076155005365,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6155047820)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«Феникс-Строй»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6150052961)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«Пульсар»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1097847134417,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7805492083)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«ВИКАР-Инжиниринг»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1067761783869,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7733590610)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«Декор»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1024201392247,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4214001182)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«БалтТеплоЗащита»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1063906134907,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3907053666)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1073906002246,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3907056748)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1085403017644,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5403217559)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«О.С.Т - Балтик»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1097847234759,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7810562709)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1077847400894,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7814374311)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«АРСИДОН»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1086150001860,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6150056684)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«ЕвроСтиль»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1086125000830,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6125027665)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«Вега-777»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1023901646922,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3907027916)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Кубанская Строительная компания-1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1092302002099,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2302062230)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Управляющая компания «ЖИЛИЩНО-ЭКСПЛУАТАЦИОННЫЙ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1072302001782,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2302055610)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фирма «Телевидение, связь, 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1026102221672,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6150005136)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5067847183190,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7810069035)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«Викбор»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1026102228921,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6150005640)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6150056042)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«Птерро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1023902052954,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3912008179)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«Строительно-Монтажная Компания «Три-С»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1067847455378,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7804332672)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1063905083791,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3905078217)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