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«ПетроБизнес»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1097847329876,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7838434538)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5067847115254,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7813350861)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«ДОРСТРОЙ-7»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1107847119203,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7806430724)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1077847015971,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7841354233)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«АБУЛ»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1037843051784,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7825003213)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«Кондорион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1106164001635,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6164296735)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«Меча»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1072222000179,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7820305980)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