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«Группа «Спектр»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1076027000720,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6027101800)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«Содис Строй Рекон»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1027804857090,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7801181263)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«Азимут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1077847062468,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7804357300)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1089847071412,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7801461736)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1064715018125,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4715017916)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«РАМЭК-ВС»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1027802486502,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7804060845)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«Строительное управление-121»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1084716001017,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4716030420)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«Стройхитпроект»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1089847151580,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7805459174)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«Архитектурное бюро Ивана Полякова»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1077847460790,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7838384943)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1077847550362,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«РАМЭК-ЭКО»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1067847162173,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«Торгово-промышленная компания «Северная корона»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1027808749540,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7817024989)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«ПОЖЗАЩИТА»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1079847110749,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7838396441)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«Инжиниринг-СМ»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1077203051155,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7203202703)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«ЭЛЬСТАР»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1021100900402,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1106011565)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«Комплекс - 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1023402969336,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3442033270)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«Эдель»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1027809256837,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7825091001)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«НТК «АЭРОТЕХНИЧЕСКИЙ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1037821053115,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7810149604)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«Ваагнер-Биро Санкт-Петербург Стейдж Системз»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1079847107559,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7838396280)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1057810421745,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7804317120)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«Ава-Петер-Строй»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1027809188406,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7825360173)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«Землеустройство»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1084703005342,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4703107019)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1097604015882,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7604164565)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