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«ТЦ Спектр»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1064715015848,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4715016888)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1037843071331,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7825502974)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«Финансстройагро»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1066143046815,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6143062292)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«Котельная компания «ВУЛКАН»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1107847037407,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7804431850)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Государственное унитарное предприятие Ростовской области «Орловское дорожное ремонтно-строительное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1026103711644,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6126009877)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