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апреля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4.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Грачева Валерия Геннадьевича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307615004500020,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615002477111)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«Унистрой Оптима»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1089848022582,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7802451410)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С-098-7802451410-31032010-462/3,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«Унистрой Оптима»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1089848022582,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7802451410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«Трест Строймеханизация»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1113459005120,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3442117681)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С-034-3442117681-27122011-878/2,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«Трест Строймеханизация»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1113459005120,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3442117681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«ПРИОРИТЕТ-ЖИЗНЬ»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1115476150085,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5401352746)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С-054-5401352746-27122011-879/1,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«ПРИОРИТЕТ-ЖИЗНЬ»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1115476150085,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5401352746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«РегионСпецСтрой»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1089848039412,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7814423840)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С-098-7814423840-02042010-479/3,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«РегионСпецСтрой»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1089848039412,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7814423840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«Конструктив»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1085401008990,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5401309187)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С-054-5401309187-07042010-492/4,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«Конструктив»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1085401008990,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5401309187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«УПРАВЛЯЮЩАЯ КОМПАНИЯ ЖКХ «ЗЕЛЕНЫЙ ДОМ»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1033917002360,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3917018082)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С-039-3917018082-16042010-532/3,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«УПРАВЛЯЮЩАЯ КОМПАНИЯ ЖКХ «ЗЕЛЕНЫЙ ДОМ»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1033917002360,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3917018082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«НОРТО»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1066150028559,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6150049768)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С-061-6150049768-07042010-494/5,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«НОРТО»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1066150028559,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6150049768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«Ленстройреконструкция»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1027806868980,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7813149546)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С-098-7813149546-09042010-495/3,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3.8.2.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«Ленстройреконструкция»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1027806868980,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7813149546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«БЦС-Калининград»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1103926004445,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3904614585)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С-039-3904614585-25012013-954/3,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3.9.2.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«БЦС-Калининград»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1103926004445,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3904614585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3.10.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«АванМастер»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1047855057436,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7811303986)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С-098-7811303986-14052010-605/4,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3.10.2.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«АванМастер»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1047855057436,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7811303986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«Монтажстрой»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1096188001249,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6101922186)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С-061-6101922186-05042010-484/4,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«Монтажстрой»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1096188001249,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6101922186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«СибТехСервис-Новосибирск»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1065406157838,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5406363974)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С-054-5406363974-07042010-490/6,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«СибТехСервис-Новосибирск»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1065406157838,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5406363974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4.1.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«ВентЭк»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1076672035615,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6672246091)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С-066-6672246091-11022010-274/3,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апреля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