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«Сибстрой»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1052202161110,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2224091576)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С-022-2224091576-28042010-561/3,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«Сибстрой»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1052202161110,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2224091576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«АгроСтройВолгоград»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1103443005490,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3443101490)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С-034-3443101490-16032011-797/2,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«АгроСтройВолгоград»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1103443005490,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3443101490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1106193006512,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6161059430)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С-061-6161059430-11032011-794/2,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1106193006512,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6161059430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«ПСТ-Строй»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1047796106742,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7701524936)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С-077-7701524936-06022013-956/1,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«ПСТ-Строй»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1047796106742,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7701524936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«СПЕЦСТРОЙГАРАНТ»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1143926005596,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3906317122)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С-039-3906317122-18022015-1054/1,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«СПЕЦСТРОЙГАРАНТ»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1143926005596,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3906317122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«Енисей»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1025202195941,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5254022399)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С-052-5254022399-02042010-478/4,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