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«БК-ТЕРМИНАЛ»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1159102070335,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9111015626)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1143926024010,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3906329840)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1113458001249,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3426014304)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«Дор-Строй-Сервис»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1026102217130,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6150037240)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С-061-6150037240-01092010-714/2,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«Дор-Строй-Сервис»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1026102217130,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6150037240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1025900517280,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5902137669)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С-059-5902137669-01092010-711/3,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«Евроинвест»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1025900517280,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5902137669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«София»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1026102230186,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6150012084)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С-061-6150012084-01092010-713/3,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«София»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1026102230186,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6150012084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«СпецМонолитСтрой»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1103444003937,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3444178552)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С-034-3444178552-16082010-698/3,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«СпецМонолитСтрой»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1103444003937,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3444178552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«Калтанское»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1054238007230,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4238000029)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С-042-4238000029-24042013-975/1,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«Калтанское»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1054238007230,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4238000029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«Василеостровское РСУ»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1027800530823,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7801221702)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С-098-7801221702-27042012-904/2,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«Василеостровское РСУ»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1027800530823,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7801221702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