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«АгроИнвестМонтаж»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1113926003938,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3906228930)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1103443005710,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3443101758)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«ДВ-Строй»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1102536004592,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2536228265)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«БСК-инженеринг»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3917501067)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«Арена»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1067847425381,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7816384001)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17.02.2011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«Идеал-Стандарт»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1107847296699,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7841432001)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17.02.2011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18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