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Акционерным обществом «РАМЭК-В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24865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0608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4060845-11122009-010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Акционерное общество «РАМЭК-В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24865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0608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ВОЛИТЕ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8101843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37788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1377883-23122009-02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ВОЛИТЕ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78101843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37788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Фирма «Авто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340245998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441021144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1021144-19012011-299/5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