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1157847317506,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7801289404)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1057424516115,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7453142704)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05.12.2016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307615004500020,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615002477111)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3967 от 02.12.2016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307615004500020,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615002477111)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3967 от 02.12.2016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Грачевым Валерием Геннадьевичем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307615004500020,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615002477111)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1085903005561,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5903089601)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3973 от 02.12.2016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1085903005561,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5903089601)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3973 от 02.12.2016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1085903005561,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5903089601)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1095904016031,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5904217528)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3972 от 02.12.2016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1095904016031,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5904217528)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3972 от 02.12.2016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«Эктив Телеком 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1095904016031,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5904217528)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