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98/2016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декабря 2016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«БЛИК 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1083022000445,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3001042094)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«Светлоярский»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1053458066848,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3426010902)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«АРСИДОН»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1086150001860,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6150056684)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«Гуковдорстрой»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1026102023573,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6144008410)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«КавказЭнергоМонтаж»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1026104371006,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6168046870)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«Северо-Западная инвестиционная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1037800102273,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7801242519)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«МОНО»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1027402542012,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7448000180)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30.12.2016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МонтажТехСтрой»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1127847377240,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7839465384)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31.12.2016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декабря 2016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