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DA6D00">
        <w:rPr>
          <w:sz w:val="22"/>
          <w:szCs w:val="22"/>
        </w:rPr>
        <w:t xml:space="preserve"> действия</w:t>
      </w:r>
      <w:r w:rsidR="006D5FCC" w:rsidRPr="00B067AC">
        <w:rPr>
          <w:sz w:val="22"/>
          <w:szCs w:val="22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</w:t>
      </w:r>
      <w:r w:rsidR="00DA6D00">
        <w:rPr>
          <w:sz w:val="22"/>
          <w:szCs w:val="22"/>
        </w:rPr>
        <w:t>вия</w:t>
      </w:r>
      <w:r w:rsidR="006D5FCC" w:rsidRPr="00B067AC">
        <w:rPr>
          <w:sz w:val="22"/>
          <w:szCs w:val="22"/>
        </w:rPr>
        <w:t xml:space="preserve">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="006D5FCC"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51BF7B27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1103443000429,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3443096152)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«Девали»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1135476041898,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5405471039)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П-054-5405471039-13092013-407/2, на основании пп. 3 п. 15 ст. 55.8 Градостроительного кодекса РФ.</w:t>
      </w:r>
    </w:p>
    <w:p w14:paraId="7F666D05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177161A3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