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62DB2AB2" w14:textId="77777777" w:rsidR="00436E78" w:rsidRPr="00811F0D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4DD72551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5.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«ТГС-НЕДРА»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1147847004117,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7813579309)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218B63AF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7B7BEDDD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5C612774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«ТЦ Спектр»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1064715015848,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4715016888)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03.05.2017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1072225001155,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2225083426)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«Энергодорстрой»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1089847080344,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7842379079)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28.04.2017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фирма «КОТЛОСЕРВИС»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1037739355763,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7727007308)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С-077-7727007308-16122009-039/4,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ЗАКРЫТОЕ АКЦИОНЕРНОЕ ОБЩЕСТВО фирма «КОТЛОСЕРВИС»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1037739355763,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7727007308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«Друза»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1073905025622,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3904092339)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С-039-3904092339-31032010-459/4,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«Друза»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1073905025622,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3904092339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«Искитимспецмонтаж»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1115483001182,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5446013133)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С-054-5446013133-03082011-850/2,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«Искитимспецмонтаж»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1115483001182,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5446013133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5.1.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«САТСТРОЙ»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1115047006865,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5047123945)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878 от 25.04.2017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«САТСТРОЙ»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1115047006865,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5047123945)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878 от 25.04.2017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«САТСТРОЙ»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1115047006865,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5047123945)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