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Хайрулина Александра Жаксыбаевича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315547600006179,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540907421553)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31.05.2016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Посаженникова Максима Сергеевича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315547600086401,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542212466685)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1135476112012,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5406753519)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«ТЭС»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1095401012464,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5401332570)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«Кубаньстройсервис»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1112328000025,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2328050172)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1022300630461,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2302034673)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«ГНБ-Сервис»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1102224001054,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2224139066)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31.05.2017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«Надземное и подземное строительство. Калининград»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1023900999495,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3906025419)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С-039-3906025419-25122009-096/7,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«Надземное и подземное строительство. Калининград»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1023900999495,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3906025419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«Енисей»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1025202195941,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5254022399)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С-052-5254022399-02042010-478/4,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«Енисей»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1025202195941,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5254022399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«Котельный завод «Энергия»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1125476006710,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5406697409)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1133 от 23.05.2017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«Котельный завод «Энергия»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1125476006710,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5406697409)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1189 от 29.05.2017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«Котельный завод «Энергия»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1125476006710,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5406697409)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«КоммунСтройСервис»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1102302003210,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2302065329)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1179 от 29.05.2017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«КоммунСтройСервис»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1102302003210,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2302065329)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1179 от 29.05.2017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«КоммунСтройСервис»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1102302003210,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2302065329)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