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55/2017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июня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4.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«Теплотехник»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1026000966144,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6027041943)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«Теплотехник»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1026000966144,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6027041943)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фирма «Л. А. импекс»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1035100153274,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5192909847)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Муниципального бюджетного учреждения Муниципальное бюджетное учреждение "ТехКонтрольСтрой" муниципального образования "Гвардейский городской округ"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1103925022794,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3916501667)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23.06.2017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«Профмонтаж»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1076027004712,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6027105516)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22.06.2017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«ТЕХНОСЕРВИС»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1153435003457,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3435120210)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05.06.2017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«АрсеналСпецМонтаж»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1105473004141,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5408279118)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23.06.2017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«Конструкторско-технологическое бюро натурных исследований и изысканий железобетона и строительных конструкций»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1097847228379,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7842413883)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23.06.2017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Акционерного общества «Жилстрой»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1023404361089,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3448020485)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23.06.2017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«МегаДорСтрой»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1117746989469,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7727767563)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23.06.2017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3.8.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«АлексГрупп»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1067746834374,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7723579329)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23.06.2017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3.9.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«Связь Строй 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1113459005660,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3442118100)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23.06.2017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3.10.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«Дельта-сервис»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5067847100503,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7806339673)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4.1.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«Водоканал»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1084212001169,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4212027153)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1416 от 22.06.2016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«Водоканал»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1084212001169,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4212027153)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1416 от 22.06.2016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«Водоканал»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1084212001169,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4212027153)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«Норма»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1042201922355,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2221065144)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1412 от 21.06.2017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«Норма»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1042201922355,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2221065144)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1412 от 21.06.2017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«Норма»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1042201922355,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2221065144)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июня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