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80/2017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сентября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2.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0CE4E318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2.1.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«РЕАЛСТРОЙ»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1103460000709,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3446037236)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1479 от 31.08.2017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«РЕАЛСТРОЙ»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1103460000709,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3446037236)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1479 от 31.08.2017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«РЕАЛСТРОЙ»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1103460000709,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3446037236)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«Дорожно-строительная компания-7»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1113458001249,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3426014304)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1663 от 31.08.2017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«Дорожно-строительная компания-7»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1113458001249,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3426014304)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1653 от 30.06.2017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«Дорожно-строительная компания-7»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1113458001249,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3426014304)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Муниципального бюджетного учреждения "Управление Муниципального Хозяйства" Светлоярского Муниципального Района Волгоградской Области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1063458003300,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3426011293)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1648 от 31.08.2017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Муниципального бюджетного учреждения "Управление Муниципального Хозяйства" Светлоярского Муниципального Района Волгоградской Области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1063458003300,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3426011293)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1648 от 31.08.2017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Муниципальным бюджетным учреждением "Управление Муниципального Хозяйства" Светлоярского Муниципального Района Волгоградской Области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1063458003300,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3426011293)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2.4.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«Связь Строй Проект»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1113459005660,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3442118100)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1748 от 31.08.2017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«Связь Строй Проект»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1113459005660,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3442118100)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1748 от 31.08.2017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«Связь Строй Проект»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1113459005660,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3442118100)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2.5.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 «Большечапурниковское коммунальное хозяйство»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1083458001076,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3426012811)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1758 от 31.08.2017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 «Большечапурниковское коммунальное хозяйство»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1083458001076,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3426012811)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1758 от 31.08.2017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 «Большечапурниковское коммунальное хозяйство»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1083458001076,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3426012811)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2.6.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«БРС»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1123926078627,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3906284156)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2073 от 30.08.2017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«БРС»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1123926078627,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3906284156)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2073 от 30.08.2017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«БРС»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1123926078627,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3906284156)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2.7.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«БСК-плюс»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1083925012786,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3904601515)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2094 от 01.09.2017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«БСК-плюс»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1083925012786,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3904601515)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2094 от 01.09.2017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«БСК-плюс»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1083925012786,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3904601515)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1 000 000 (один миллион)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/>
      </w:r>
      <w:r w:rsidR="00436E78" w:rsidRPr="008A76F6">
        <w:rPr>
          <w:sz w:val="22"/>
          <w:szCs w:val="22"/>
          <w:lang w:val="en-US"/>
        </w:rPr>
        <w:t>04 сентября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