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Центр архитектурно-строительного проектирования и экспертно-технического сопровождения»</w:t>
      </w:r>
      <w:r w:rsidR="0064112E" w:rsidRPr="00997C4A">
        <w:rPr>
          <w:sz w:val="22"/>
          <w:szCs w:val="22"/>
        </w:rPr>
        <w:t xml:space="preserve"> (ОГРН 11078471664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142675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 «Полесский Райавтодор»</w:t>
      </w:r>
      <w:r w:rsidR="0098382E" w:rsidRPr="00A319DF">
        <w:rPr>
          <w:sz w:val="22"/>
          <w:szCs w:val="22"/>
          <w:lang w:val="en-US"/>
        </w:rPr>
        <w:t xml:space="preserve"> (ОГРН 1023902272778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3922000186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1.02.2018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0BF408F6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2C0887D5" w14:textId="77777777" w:rsidR="00015394" w:rsidRPr="009A783C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