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февраля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«Промышленное Электроснабжение»</w:t>
      </w:r>
      <w:r w:rsidR="00B9210B" w:rsidRPr="00241327">
        <w:rPr>
          <w:sz w:val="22"/>
          <w:szCs w:val="22"/>
          <w:lang w:val="en-US"/>
        </w:rPr>
        <w:t xml:space="preserve"> (ОГРН 1187847288386,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7804629063)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«Промышленное Электроснабжение»</w:t>
      </w:r>
      <w:r w:rsidRPr="00496A50">
        <w:rPr>
          <w:sz w:val="22"/>
          <w:szCs w:val="22"/>
        </w:rPr>
        <w:t xml:space="preserve"> (ОГРН 1187847288386,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7804629063)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февраля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