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«Компания»</w:t>
      </w:r>
      <w:r w:rsidR="00734D4E" w:rsidRPr="00155989">
        <w:rPr>
          <w:sz w:val="22"/>
          <w:szCs w:val="22"/>
        </w:rPr>
        <w:t xml:space="preserve"> (ОГРН 1102204000733, ИНН 2245004341)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«Компания»</w:t>
      </w:r>
      <w:r w:rsidR="00734D4E" w:rsidRPr="00A821BF">
        <w:rPr>
          <w:sz w:val="22"/>
          <w:szCs w:val="22"/>
        </w:rPr>
        <w:t xml:space="preserve"> (ОГРН 1102204000733, ИНН 2245004341)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«ВЕЛЕС»</w:t>
      </w:r>
      <w:r w:rsidR="00734D4E" w:rsidRPr="00155989">
        <w:rPr>
          <w:sz w:val="22"/>
          <w:szCs w:val="22"/>
        </w:rPr>
        <w:t xml:space="preserve"> (ОГРН 1027802761370, ИНН 7805129754)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«ВЕЛЕС»</w:t>
      </w:r>
      <w:r w:rsidR="00734D4E" w:rsidRPr="00A821BF">
        <w:rPr>
          <w:sz w:val="22"/>
          <w:szCs w:val="22"/>
        </w:rPr>
        <w:t xml:space="preserve"> (ОГРН 1027802761370, ИНН 7805129754)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