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«Донаэродорстрой»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1026103158730,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6163002069)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«СМУ-Дондорстрой»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1066164171050,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«Росстроймонтаж»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1033400011556,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3435060970)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25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