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«Архитектурно-строительный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1097847325399,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7806420927)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Гера»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1026103049796,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6162019221)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«ПСМ - Строй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1042202168821,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бюджетное учреждение Ростовской области «Ростовоблстройзаказчик»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1096195004014,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6163099188)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«Водоканал» города Новоалтайска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1022200769711,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2208001857)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«Объединенная Строительная Корпорация ССТ»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1097746735998,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7736610745)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1025900517280,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5902137669)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1103455001000,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3403027459)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