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«Научно-производственная фирма «Ракурс»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1027810283467,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7812041998)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«Сиб-кров»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2224136964)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