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«ЦЕНТР СПЕЦИАЛЬНЫХ РЕШЕНИЙ»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1072225000275,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2225082574)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бюджетного учреждения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