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января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бат. Инженерные сет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50076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8167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льянсСтройК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430057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310175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о-промышлен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54063927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33391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Альянс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54040251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33766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лектромашин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3070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5074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7 января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