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февраля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1032202181857,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2224083952)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«АСКО»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1027810358520,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7826034817)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«МонтажТехСтрой -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1053900160555,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3908032475)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«БалтКонкрит»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1053900111957,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3908032299)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«Невское»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1027806077265,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7825688172)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«Железногорское управление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1032401227264,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2452027971)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«Рузбус»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1025007461214,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5073002520)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«ГИТЭС»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1037700012822,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7736209043)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«Партнеринвестстрой»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1035008252840,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5041015206)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1105053000931,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5053068900)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«Монтажная компания Теплоэнергострой»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1057749518441,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7716539501)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1077758339724,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7714704830)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«Академэлектромонтаж»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1037843038595,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7803064678)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«Надземное и подземное строительство. Калининград»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1023900999495,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3906025419)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1057812515518,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7839321819)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«Котельная компания «ВУЛКАН»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1107847037407,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7804431850)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«Электрокомплекс»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1065404083997,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5404275507)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«СИТИ»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1079847120374,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7802415228)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08.02.2012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08 февраля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