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 Строй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6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8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Е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16325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30295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ТД «Бассейны и саун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344300018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898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