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виаСтройСвяз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08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26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тре-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770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04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«Волгодонская городская электрическая се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260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140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