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Управляющая Компания «ЭТАЛ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96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541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еотехн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126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30879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мк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18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80320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иниринговая компания Гемин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061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62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ектно-строительная компания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40231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359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