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28557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36827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ект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230033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1528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Центр проектных решений «ФАП Студи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926013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348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Инвест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020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224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