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128557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36827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кт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230033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528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Центр проектных решений «ФАП Студи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926013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348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Инвест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98470020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4224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