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многопрофильная фирма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1026102225379,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6150015960)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казенное учреждение Департамент строительства и городского развития Администрации города Новочеркасска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1026102234124,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6150030990)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«Горизонт»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1074205013937,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4205133672)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Строительная Корпорация ССТ»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1097746735998,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7736610745)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фирма «КОТЛОСЕРВИС»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1037739355763,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7727007308)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1073458003398,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3426012508)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1096166000116,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6166068501)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«Торгово-промышленная фирма «Агрострой»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1022300630461,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2302034673)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«ВСВ-Климат»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1102302000338,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2302063064)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1056162033366,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6162044002)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6164292900)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«Дренаж»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1023900554248,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3920004690)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«СтройЭнергоМонтаж-Сервис»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1099847001902,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7838434979)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Майорова Алексея Валерьевича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304602506300062,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602501078128)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«Бранвен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1103925015523,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3906218957)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«Идеал-Стандарт»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1107847296699,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7841432001)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«ДонКавСтрой»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1076150000398,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6150053235)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1096183003993,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6150061821)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