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ВАНО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8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989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унимовича Рувима Иль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50303600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0300065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Проек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543007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5201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745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3941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37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581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32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6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