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78/2012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августа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«ТеплоЭнергоМонтаж»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1102225013208,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2225114258)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«ЭЛСИС ГРУПП»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1089847379775,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7839391407)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«Производственное объединение «Управление строительными проектами»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1047803009792,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7802229398)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«Торгово-промышленная фирма «Агрострой»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1022300630461,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2302034673)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«БалтКомСтрой»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1089848045540,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7804404327)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«Научное Производственное Объединение «ПроЭнергоМаш»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1082222007768,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2222076572)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06.08.2012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августа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