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1096164005156,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6164292900)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1066150028559,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6150049768)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1092223010043,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2223573672)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