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«ФРАНЦ-А»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1027739397586,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7712110824)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1105543008966,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5501224459)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модульного строительства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1063906138119,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3906158401)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26.09.2012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