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«ГЕО-Инжиниринг»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1077847427855,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7816416158)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«Сибинтех-Проект»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1082221007725,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2221137568)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Научно-производственная строительная компания «СКИП»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1075405001418,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5405335565)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«Донаэродорстрой»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