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3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2 окт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рмавиртеплоэнерго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230200147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06155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Энергосервисная компан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500050941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00102945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Музейное оборудование и 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784717262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33585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Тепловые сети Балаших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500050935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00103655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Фасад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1101909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523470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5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МУ-30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30554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3841255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6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Музейные технологи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3200296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06870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7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государственного бюджетного учреждения Ростовской области «Ростовоблстройзаказчи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619500401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309918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8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Инжиниринг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421401251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421402659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Тех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5781128557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16368271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1.10.2012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2 окт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