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«ЮгКаркасПроект»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1026103275197,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6165076299)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Закрытым акционерным обществом «Импульс Промышленные Котельные»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1025002880154,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5024051405)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П-050-5024051405-07122009-008/3,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Закрытое акционерное общество «Импульс Промышленные Котельные»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1025002880154,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5024051405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«Строительная Компания «Возрождение»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1097847222142,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7801500223)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П-098-7801500223-21122009-016/3,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«Строительная Компания «Возрождение»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1097847222142,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7801500223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«Проект-Мастер»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1106194004883,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6162057509)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П-061-6162057509-26082011-348/1,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«Проект-Мастер»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1106194004883,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6162057509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«Волгоградтрансремстрой-Проект»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1073460006971,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3445094143)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П-034-3445094143-29122009-032/2,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«Волгоградтрансремстрой-Проект»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1073460006971,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3445094143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«Калининградская Гавань»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1023900586742,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3904041140)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П-039-3904041140-18022010-124/3,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«Калининградская Гавань»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1023900586742,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3904041140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«Инженерно-строительное объединение»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1077847091915,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7806356407)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П-098-7806356407-19082011-347/1,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«Инженерно-строительное объединение»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1077847091915,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7806356407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