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129/2012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«ЮгАвтоСтрой»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1123458000412,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3426014544)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«Вентиляционные Инженерные Системы»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1089847032626,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7839374433)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Грачева Валерия Геннадьевича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307615004500020,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615002477111)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«Технострой контроль»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1123926070641,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3906279660)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«Северо-Западная Строительная Компания «Терра»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5067847541834,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7802372052)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НПФ «ТЕЗАУРУС»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1081831010689,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1831130924)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«ПФ-Комплекс»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1037811001150,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7805199430)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17.12.2012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