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«ЮгАвтоСтрой»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1123458000412,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3426014544)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«Вентиляционные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1089847032626,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7839374433)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«Технострой 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1123926070641,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3906279660)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«Терра»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5067847541834,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7802372052)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НПФ «ТЕЗАУРУС»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1081831010689,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1831130924)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«ПФ-Комплекс»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1037811001150,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7805199430)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