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«Усинский нефтеперерабатывающий завод»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1051100788650,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1106019606)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«СТРОЙТРАНС»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1069847504198,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7810081561)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«Наружные трубопроводы»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1026602949977,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6659080224)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«СоюзПетроСервис»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1047839012869,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7840014890)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казенного учреждения «Служба заказчика Зеленоградского района»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1053909026082,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3918027065)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«МК-Альянс»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1079847050524,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7813367199)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«Технадзор»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1066164174570,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6164248604)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«Искитимспецмонтаж»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1115483001182,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5446013133)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предприятие «ТЕЛЕКС Линия Трудовых Династий»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1036604392461,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6662007834)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Теплоэнергетическая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1063906075639,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3906151646)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«Кредо»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1086164009986,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6164283849)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«Ремонтно-Строительное Управление «МАСТЕР»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1099847022912,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7813459795)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«Всевлесстрой»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1034700557000,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4703062174)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«ДонЕвроСтрой»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1066150029659,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6150052552)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Научно-производственное объединение «ОРИОН - АКВА»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1035402456407,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5406154667)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«БСК-плюс»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1083925012786,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3904601515)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«Енисей»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1025202195941,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5254022399)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1077847599917,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7816423814)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Монтажная Компания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1092302002099,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2302062230)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«СтройТон-М»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1072302000550,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2302054366)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«Северо-Кавказский Завод Металлоконструкций»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1082357000241,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2357006876)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