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16/2013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18 февраля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«ГазПромСибирь»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1082222000288,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2222070080)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«Производственное строительно-монтажное объединение «АМПИР»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1077847409078,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7807324310)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«Стройконсалтинг»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1089847248512,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7814411154)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С-098-7814411154-11022010-306/3,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«Стройконсалтинг»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1089847248512,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7814411154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«Регион»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1063905083791,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3905078217)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С-039-3905078217-28012010-213/4,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«Регион»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1063905083791,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3905078217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«ЕвроСтиль»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1086125000830,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6125027665)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С-061-6125027665-28012010-209/3,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3.3.2.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«ЕвроСтиль»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1086125000830,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6125027665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«ПромСтройРесурс»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1092221007977,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2221176493)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С-022-2221176493-04022010-253/5,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3.4.2.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«ПромСтройРесурс»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1092221007977,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2221176493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3.5.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«РОСТЭКС.С»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1022200898873,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2221051568)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С-022-2221051568-28012010-195/2,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3.5.2.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«РОСТЭКС.С»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1022200898873,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2221051568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3.6.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 «Декор»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1024201392247,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4214001182)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С-042-4214001182-28012010-202/2,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3.6.2.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Производственный кооператив «Декор»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1024201392247,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4214001182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18 февраля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