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1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пре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Калтанское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4238007230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23800002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ГазПроф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33926006829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90628861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идне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25033234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11135435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троительная Компания «Универсал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9565800353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60303363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Наружные трубопроводы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66029499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6659080224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пре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