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Мурджикнели Генади Владимировича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308667201000016,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667220383878)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«Ай Пи 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1107847045261,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7813465069)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«ПФ-Комплекс»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1037811001150,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7805199430)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НПФ «ТЕЗАУРУС»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1081831010689,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1831130924)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Фирма «Ремстроймонтаж»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1089848031900,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7810535991)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«Строительно-производственное объединение СФЕРА»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1107847026143,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7839418024)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«Электросельхозпроммонтаж»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1093459006046,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3442106922)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«ПОДРЯД»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1055404158050,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5404258100)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Производственная компания «САЛЮТ»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1105405002889,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5405408478)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«МонтажТехСтрой -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1053900160555,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3908032475)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1076143000010,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6143064412)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«Колизей»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1073906028789,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3906180069)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«Феникс»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1105405001448,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5405407570)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7814423840)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«Енисей»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1025202195941,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5254022399)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«ВотерПрайсИнвест»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1057811584610,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7810033046)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«Генподрядное Управление ПСТ»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1077847588675,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7841370179)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«РосЭлектроСтрой»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1086027009034,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6027118233)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«Музейные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1037832002966,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7814068709)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«Музейное оборудование и 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1067847172623,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7814335859)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ПСК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1095406035845,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5406551086)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1092223005819,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2223971507)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«ТЭС»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1095401012464,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5401332570)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«Востокспецавтоматика»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1025401018290,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5402141723)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«АНИС»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1089847308440,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7841392430)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02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